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73F9" w14:textId="190E22C5" w:rsidR="009B3F84" w:rsidRDefault="009B3F84" w:rsidP="000A3F4C">
      <w:pPr>
        <w:spacing w:after="0" w:line="240" w:lineRule="auto"/>
        <w:jc w:val="center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noProof/>
          <w:sz w:val="21"/>
          <w:szCs w:val="21"/>
        </w:rPr>
        <w:drawing>
          <wp:inline distT="0" distB="0" distL="0" distR="0" wp14:anchorId="0B0F981E" wp14:editId="51D9513B">
            <wp:extent cx="5944235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AF4F22" w14:textId="77777777" w:rsidR="009B3F84" w:rsidRDefault="009B3F84" w:rsidP="000A3F4C">
      <w:pPr>
        <w:spacing w:after="0" w:line="240" w:lineRule="auto"/>
        <w:jc w:val="center"/>
        <w:rPr>
          <w:rFonts w:eastAsia="Calibri" w:cstheme="minorHAnsi"/>
          <w:sz w:val="21"/>
          <w:szCs w:val="21"/>
        </w:rPr>
      </w:pPr>
    </w:p>
    <w:p w14:paraId="59FB9424" w14:textId="13A90C22" w:rsidR="009C5078" w:rsidRPr="003F7AF7" w:rsidRDefault="000A3F4C" w:rsidP="009B3F8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3F7AF7">
        <w:rPr>
          <w:rFonts w:eastAsia="Calibri" w:cstheme="minorHAnsi"/>
          <w:sz w:val="24"/>
          <w:szCs w:val="24"/>
        </w:rPr>
        <w:t>Update</w:t>
      </w:r>
      <w:r w:rsidR="00F86B7F" w:rsidRPr="003F7AF7">
        <w:rPr>
          <w:rFonts w:eastAsia="Calibri" w:cstheme="minorHAnsi"/>
          <w:sz w:val="24"/>
          <w:szCs w:val="24"/>
        </w:rPr>
        <w:t xml:space="preserve"> </w:t>
      </w:r>
      <w:r w:rsidR="00476289" w:rsidRPr="003F7AF7">
        <w:rPr>
          <w:rFonts w:eastAsia="Calibri" w:cstheme="minorHAnsi"/>
          <w:sz w:val="24"/>
          <w:szCs w:val="24"/>
        </w:rPr>
        <w:t>November</w:t>
      </w:r>
      <w:r w:rsidRPr="003F7AF7">
        <w:rPr>
          <w:rFonts w:eastAsia="Calibri" w:cstheme="minorHAnsi"/>
          <w:sz w:val="24"/>
          <w:szCs w:val="24"/>
        </w:rPr>
        <w:t xml:space="preserve"> 2022</w:t>
      </w:r>
    </w:p>
    <w:p w14:paraId="395AD21A" w14:textId="77777777" w:rsidR="003F7AF7" w:rsidRDefault="003F7AF7" w:rsidP="000A3F4C">
      <w:pPr>
        <w:spacing w:after="0" w:line="240" w:lineRule="auto"/>
        <w:rPr>
          <w:rFonts w:eastAsia="Calibri" w:cstheme="minorHAnsi"/>
          <w:sz w:val="21"/>
          <w:szCs w:val="21"/>
          <w:u w:val="single"/>
        </w:rPr>
      </w:pPr>
    </w:p>
    <w:p w14:paraId="7745AAAE" w14:textId="19ED22C0" w:rsidR="00476289" w:rsidRDefault="00476289" w:rsidP="000A3F4C">
      <w:pPr>
        <w:spacing w:after="0" w:line="240" w:lineRule="auto"/>
        <w:rPr>
          <w:rFonts w:eastAsia="Calibri" w:cstheme="minorHAnsi"/>
          <w:sz w:val="21"/>
          <w:szCs w:val="21"/>
          <w:u w:val="single"/>
        </w:rPr>
      </w:pPr>
      <w:r>
        <w:rPr>
          <w:rFonts w:eastAsia="Calibri" w:cstheme="minorHAnsi"/>
          <w:sz w:val="21"/>
          <w:szCs w:val="21"/>
          <w:u w:val="single"/>
        </w:rPr>
        <w:t>Purpose:</w:t>
      </w:r>
    </w:p>
    <w:p w14:paraId="41DB14A6" w14:textId="26EE61DB" w:rsidR="00476289" w:rsidRDefault="00476289" w:rsidP="00476289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(Task Force): </w:t>
      </w:r>
      <w:r w:rsidRPr="00476289">
        <w:rPr>
          <w:rFonts w:eastAsia="Calibri" w:cstheme="minorHAnsi"/>
          <w:sz w:val="21"/>
          <w:szCs w:val="21"/>
        </w:rPr>
        <w:t xml:space="preserve">to develop initial recommendations for achieving a fully funded and aligned system to ensure access to full-day, year-round, high-quality early </w:t>
      </w:r>
      <w:proofErr w:type="gramStart"/>
      <w:r w:rsidRPr="00476289">
        <w:rPr>
          <w:rFonts w:eastAsia="Calibri" w:cstheme="minorHAnsi"/>
          <w:sz w:val="21"/>
          <w:szCs w:val="21"/>
        </w:rPr>
        <w:t>care</w:t>
      </w:r>
      <w:proofErr w:type="gramEnd"/>
      <w:r w:rsidRPr="00476289">
        <w:rPr>
          <w:rFonts w:eastAsia="Calibri" w:cstheme="minorHAnsi"/>
          <w:sz w:val="21"/>
          <w:szCs w:val="21"/>
        </w:rPr>
        <w:t xml:space="preserve"> and education for children regardless of the setting and experiences parents choose.</w:t>
      </w:r>
    </w:p>
    <w:p w14:paraId="222CC9AE" w14:textId="1BEBD415" w:rsidR="00476289" w:rsidRDefault="00476289" w:rsidP="00476289">
      <w:pPr>
        <w:pStyle w:val="ListParagraph"/>
        <w:numPr>
          <w:ilvl w:val="0"/>
          <w:numId w:val="4"/>
        </w:numPr>
        <w:spacing w:line="240" w:lineRule="auto"/>
        <w:rPr>
          <w:rFonts w:eastAsia="Calibri" w:cstheme="minorHAnsi"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(Workgroups): </w:t>
      </w:r>
      <w:r w:rsidRPr="00476289">
        <w:rPr>
          <w:rFonts w:eastAsia="Calibri" w:cstheme="minorHAnsi"/>
          <w:sz w:val="21"/>
          <w:szCs w:val="21"/>
        </w:rPr>
        <w:t>to design a Nebraska-specific model as the vehicle for shared leadership and financing</w:t>
      </w:r>
    </w:p>
    <w:p w14:paraId="4133F9E1" w14:textId="69354873" w:rsidR="003F7AF7" w:rsidRPr="003F7AF7" w:rsidRDefault="003F7AF7" w:rsidP="003F7AF7">
      <w:pPr>
        <w:spacing w:after="0" w:line="240" w:lineRule="auto"/>
        <w:rPr>
          <w:rFonts w:eastAsia="Calibri" w:cstheme="minorHAnsi"/>
          <w:sz w:val="21"/>
          <w:szCs w:val="21"/>
          <w:u w:val="single"/>
        </w:rPr>
      </w:pPr>
      <w:r w:rsidRPr="003F7AF7">
        <w:rPr>
          <w:rFonts w:eastAsia="Calibri" w:cstheme="minorHAnsi"/>
          <w:sz w:val="21"/>
          <w:szCs w:val="21"/>
          <w:u w:val="single"/>
        </w:rPr>
        <w:t>PDG Strategic Plan alignment:</w:t>
      </w:r>
    </w:p>
    <w:p w14:paraId="3C29561E" w14:textId="0EEB7C5E" w:rsidR="003F7AF7" w:rsidRDefault="003F7AF7" w:rsidP="003F7AF7">
      <w:pPr>
        <w:spacing w:after="0" w:line="240" w:lineRule="auto"/>
        <w:rPr>
          <w:rFonts w:eastAsia="Calibri" w:cstheme="minorHAnsi"/>
          <w:sz w:val="21"/>
          <w:szCs w:val="21"/>
        </w:rPr>
      </w:pPr>
      <w:r w:rsidRPr="003F7AF7">
        <w:rPr>
          <w:rFonts w:eastAsia="Calibri" w:cstheme="minorHAnsi"/>
          <w:sz w:val="21"/>
          <w:szCs w:val="21"/>
        </w:rPr>
        <w:t xml:space="preserve">The Task Force was designed with Goal 4 of Nebraska’s Early Childhood Strategic Plan in mind, which is: Statewide systems align to support communities in creating an integrated and comprehensive mixed delivery system for all children. </w:t>
      </w:r>
    </w:p>
    <w:p w14:paraId="1DAB0992" w14:textId="77777777" w:rsidR="003F7AF7" w:rsidRDefault="003F7AF7" w:rsidP="003F7AF7">
      <w:pPr>
        <w:spacing w:after="0" w:line="240" w:lineRule="auto"/>
        <w:rPr>
          <w:rFonts w:eastAsia="Calibri" w:cstheme="minorHAnsi"/>
          <w:sz w:val="21"/>
          <w:szCs w:val="21"/>
        </w:rPr>
      </w:pPr>
    </w:p>
    <w:p w14:paraId="7B0EC92F" w14:textId="70078EF7" w:rsidR="003F7AF7" w:rsidRPr="003F7AF7" w:rsidRDefault="003F7AF7" w:rsidP="003F7AF7">
      <w:pPr>
        <w:spacing w:after="0" w:line="240" w:lineRule="auto"/>
        <w:rPr>
          <w:rFonts w:eastAsia="Calibri" w:cstheme="minorHAnsi"/>
          <w:sz w:val="21"/>
          <w:szCs w:val="21"/>
        </w:rPr>
      </w:pPr>
      <w:r w:rsidRPr="003F7AF7">
        <w:rPr>
          <w:rFonts w:eastAsia="Calibri" w:cstheme="minorHAnsi"/>
          <w:sz w:val="21"/>
          <w:szCs w:val="21"/>
          <w:u w:val="single"/>
        </w:rPr>
        <w:t>Update:</w:t>
      </w:r>
      <w:r>
        <w:rPr>
          <w:rFonts w:eastAsia="Calibri" w:cstheme="minorHAnsi"/>
          <w:sz w:val="21"/>
          <w:szCs w:val="21"/>
        </w:rPr>
        <w:t xml:space="preserve"> preparing no-cost extension request </w:t>
      </w:r>
    </w:p>
    <w:p w14:paraId="15989732" w14:textId="77777777" w:rsidR="003F7AF7" w:rsidRPr="003F7AF7" w:rsidRDefault="003F7AF7" w:rsidP="003F7AF7">
      <w:pPr>
        <w:spacing w:after="0" w:line="240" w:lineRule="auto"/>
        <w:rPr>
          <w:rFonts w:eastAsia="Calibri" w:cstheme="minorHAnsi"/>
          <w:sz w:val="21"/>
          <w:szCs w:val="21"/>
        </w:rPr>
      </w:pPr>
    </w:p>
    <w:p w14:paraId="0C78631F" w14:textId="6E4E8460" w:rsidR="000A3F4C" w:rsidRPr="003F7AF7" w:rsidRDefault="00476289" w:rsidP="000A3F4C">
      <w:pPr>
        <w:spacing w:after="0" w:line="240" w:lineRule="auto"/>
        <w:rPr>
          <w:rFonts w:eastAsia="Calibri" w:cstheme="minorHAnsi"/>
          <w:sz w:val="21"/>
          <w:szCs w:val="21"/>
          <w:u w:val="single"/>
        </w:rPr>
      </w:pPr>
      <w:r w:rsidRPr="003F7AF7">
        <w:rPr>
          <w:rFonts w:eastAsia="Calibri" w:cstheme="minorHAnsi"/>
          <w:sz w:val="21"/>
          <w:szCs w:val="21"/>
          <w:u w:val="single"/>
        </w:rPr>
        <w:t>Update on a</w:t>
      </w:r>
      <w:r w:rsidR="000A3F4C" w:rsidRPr="003F7AF7">
        <w:rPr>
          <w:rFonts w:eastAsia="Calibri" w:cstheme="minorHAnsi"/>
          <w:sz w:val="21"/>
          <w:szCs w:val="21"/>
          <w:u w:val="single"/>
        </w:rPr>
        <w:t>ctivities</w:t>
      </w:r>
      <w:r w:rsidRPr="003F7AF7">
        <w:rPr>
          <w:rFonts w:eastAsia="Calibri" w:cstheme="minorHAnsi"/>
          <w:sz w:val="21"/>
          <w:szCs w:val="21"/>
          <w:u w:val="single"/>
        </w:rPr>
        <w:t>:</w:t>
      </w:r>
    </w:p>
    <w:p w14:paraId="017F6339" w14:textId="6C572869" w:rsidR="000A3F4C" w:rsidRPr="006B3884" w:rsidRDefault="000A3F4C" w:rsidP="000A3F4C">
      <w:pPr>
        <w:spacing w:after="0" w:line="240" w:lineRule="auto"/>
        <w:rPr>
          <w:rFonts w:eastAsia="Calibri" w:cstheme="minorHAnsi"/>
          <w:sz w:val="21"/>
          <w:szCs w:val="21"/>
        </w:rPr>
      </w:pPr>
      <w:r w:rsidRPr="006B3884">
        <w:rPr>
          <w:rFonts w:eastAsia="Calibri" w:cstheme="minorHAnsi"/>
          <w:sz w:val="21"/>
          <w:szCs w:val="21"/>
        </w:rPr>
        <w:t xml:space="preserve">Utilizing PDG funds, First Five Nebraska (FFN) </w:t>
      </w:r>
      <w:r>
        <w:rPr>
          <w:rFonts w:eastAsia="Calibri" w:cstheme="minorHAnsi"/>
          <w:sz w:val="21"/>
          <w:szCs w:val="21"/>
        </w:rPr>
        <w:t xml:space="preserve">has </w:t>
      </w:r>
      <w:r w:rsidRPr="006B3884">
        <w:rPr>
          <w:rFonts w:eastAsia="Calibri" w:cstheme="minorHAnsi"/>
          <w:sz w:val="21"/>
          <w:szCs w:val="21"/>
        </w:rPr>
        <w:t>contract</w:t>
      </w:r>
      <w:r>
        <w:rPr>
          <w:rFonts w:eastAsia="Calibri" w:cstheme="minorHAnsi"/>
          <w:sz w:val="21"/>
          <w:szCs w:val="21"/>
        </w:rPr>
        <w:t>ed</w:t>
      </w:r>
      <w:r w:rsidRPr="006B3884">
        <w:rPr>
          <w:rFonts w:eastAsia="Calibri" w:cstheme="minorHAnsi"/>
          <w:sz w:val="21"/>
          <w:szCs w:val="21"/>
        </w:rPr>
        <w:t xml:space="preserve"> with national experts Jeanna Capito and Simon Workman of </w:t>
      </w:r>
      <w:hyperlink r:id="rId9" w:history="1">
        <w:r w:rsidRPr="00BE469F">
          <w:rPr>
            <w:rStyle w:val="Hyperlink"/>
            <w:rFonts w:eastAsia="Calibri" w:cstheme="minorHAnsi"/>
            <w:sz w:val="21"/>
            <w:szCs w:val="21"/>
          </w:rPr>
          <w:t>P5 Fiscal Strategies</w:t>
        </w:r>
      </w:hyperlink>
      <w:r w:rsidRPr="006B3884">
        <w:rPr>
          <w:rFonts w:eastAsia="Calibri" w:cstheme="minorHAnsi"/>
          <w:sz w:val="21"/>
          <w:szCs w:val="21"/>
        </w:rPr>
        <w:t xml:space="preserve"> and local expert, Jen Goettemoeller Wendl to:</w:t>
      </w:r>
    </w:p>
    <w:p w14:paraId="0F0E35B6" w14:textId="77777777" w:rsidR="000A3F4C" w:rsidRPr="00603643" w:rsidRDefault="000A3F4C" w:rsidP="000A3F4C">
      <w:pPr>
        <w:spacing w:after="0" w:line="240" w:lineRule="auto"/>
        <w:rPr>
          <w:rFonts w:eastAsia="Calibri" w:cstheme="minorHAnsi"/>
          <w:sz w:val="21"/>
          <w:szCs w:val="21"/>
        </w:rPr>
      </w:pPr>
      <w:r w:rsidRPr="006B3884">
        <w:rPr>
          <w:rFonts w:eastAsia="Calibri" w:cstheme="minorHAnsi"/>
          <w:sz w:val="21"/>
          <w:szCs w:val="21"/>
        </w:rPr>
        <w:t xml:space="preserve"> </w:t>
      </w:r>
    </w:p>
    <w:p w14:paraId="0C33BEA7" w14:textId="473050A3" w:rsidR="009D1821" w:rsidRDefault="003E23E7" w:rsidP="009D182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bookmarkStart w:id="0" w:name="_Hlk86143800"/>
      <w:r>
        <w:rPr>
          <w:rFonts w:eastAsia="Times New Roman" w:cstheme="minorHAnsi"/>
          <w:color w:val="000000"/>
          <w:sz w:val="21"/>
          <w:szCs w:val="21"/>
        </w:rPr>
        <w:t>Working with Task Force and Workgroups, d</w:t>
      </w:r>
      <w:r w:rsidR="000A3F4C" w:rsidRPr="009D1821">
        <w:rPr>
          <w:rFonts w:eastAsia="Times New Roman" w:cstheme="minorHAnsi"/>
          <w:color w:val="000000"/>
          <w:sz w:val="21"/>
          <w:szCs w:val="21"/>
        </w:rPr>
        <w:t xml:space="preserve">esign </w:t>
      </w:r>
      <w:proofErr w:type="spellStart"/>
      <w:r w:rsidR="000A3F4C" w:rsidRPr="009D1821">
        <w:rPr>
          <w:rFonts w:eastAsia="Times New Roman" w:cstheme="minorHAnsi"/>
          <w:color w:val="000000"/>
          <w:sz w:val="21"/>
          <w:szCs w:val="21"/>
        </w:rPr>
        <w:t>an</w:t>
      </w:r>
      <w:proofErr w:type="spellEnd"/>
      <w:r w:rsidR="000A3F4C" w:rsidRPr="009D1821">
        <w:rPr>
          <w:rFonts w:eastAsia="Times New Roman" w:cstheme="minorHAnsi"/>
          <w:color w:val="000000"/>
          <w:sz w:val="21"/>
          <w:szCs w:val="21"/>
        </w:rPr>
        <w:t xml:space="preserve"> implementation plan for a Nebraska-specific Shared Leadership and Financing public-private hybrid model as the vehicle for shared leadership and financing of the early childhood system</w:t>
      </w:r>
      <w:bookmarkEnd w:id="0"/>
      <w:r>
        <w:rPr>
          <w:rFonts w:eastAsia="Times New Roman" w:cstheme="minorHAnsi"/>
          <w:color w:val="000000"/>
          <w:sz w:val="21"/>
          <w:szCs w:val="21"/>
        </w:rPr>
        <w:t>.</w:t>
      </w:r>
      <w:r w:rsidR="009D1821" w:rsidRPr="009D1821">
        <w:rPr>
          <w:rFonts w:eastAsia="Times New Roman" w:cstheme="minorHAnsi"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 xml:space="preserve">We will </w:t>
      </w:r>
      <w:r w:rsidR="009D1821" w:rsidRPr="009D1821">
        <w:rPr>
          <w:rFonts w:eastAsia="Times New Roman" w:cstheme="minorHAnsi"/>
          <w:color w:val="000000"/>
          <w:sz w:val="21"/>
          <w:szCs w:val="21"/>
        </w:rPr>
        <w:t>utiliz</w:t>
      </w:r>
      <w:r>
        <w:rPr>
          <w:rFonts w:eastAsia="Times New Roman" w:cstheme="minorHAnsi"/>
          <w:color w:val="000000"/>
          <w:sz w:val="21"/>
          <w:szCs w:val="21"/>
        </w:rPr>
        <w:t>e</w:t>
      </w:r>
      <w:r w:rsidR="009D1821" w:rsidRPr="009D1821">
        <w:rPr>
          <w:rFonts w:eastAsia="Times New Roman" w:cstheme="minorHAnsi"/>
          <w:color w:val="000000"/>
          <w:sz w:val="21"/>
          <w:szCs w:val="21"/>
        </w:rPr>
        <w:t xml:space="preserve"> feedback from stakeholders such as </w:t>
      </w:r>
      <w:r w:rsidR="000A3F4C" w:rsidRPr="009D1821">
        <w:rPr>
          <w:rFonts w:eastAsia="Times New Roman" w:cstheme="minorHAnsi"/>
          <w:color w:val="000000"/>
          <w:sz w:val="21"/>
          <w:szCs w:val="21"/>
        </w:rPr>
        <w:t xml:space="preserve">parents, providers, </w:t>
      </w:r>
      <w:r w:rsidR="009D1821" w:rsidRPr="009D1821">
        <w:rPr>
          <w:rFonts w:eastAsia="Times New Roman" w:cstheme="minorHAnsi"/>
          <w:color w:val="000000"/>
          <w:sz w:val="21"/>
          <w:szCs w:val="21"/>
        </w:rPr>
        <w:t xml:space="preserve">and </w:t>
      </w:r>
      <w:r w:rsidR="000A3F4C" w:rsidRPr="009D1821">
        <w:rPr>
          <w:rFonts w:eastAsia="Times New Roman" w:cstheme="minorHAnsi"/>
          <w:color w:val="000000"/>
          <w:sz w:val="21"/>
          <w:szCs w:val="21"/>
        </w:rPr>
        <w:t>community/school leaders</w:t>
      </w:r>
      <w:r w:rsidR="009D1821" w:rsidRPr="009D1821">
        <w:rPr>
          <w:rFonts w:eastAsia="Times New Roman" w:cstheme="minorHAnsi"/>
          <w:color w:val="000000"/>
          <w:sz w:val="21"/>
          <w:szCs w:val="21"/>
        </w:rPr>
        <w:t>, especially from marginalized populations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 to inform the SL&amp;F Implementation Plan.</w:t>
      </w:r>
    </w:p>
    <w:p w14:paraId="2C3343D5" w14:textId="63A61FBF" w:rsidR="000A3F4C" w:rsidRDefault="009D1821" w:rsidP="003E23E7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  <w:u w:val="single"/>
        </w:rPr>
        <w:t>T</w:t>
      </w:r>
      <w:r w:rsidR="000A3F4C" w:rsidRPr="003E23E7">
        <w:rPr>
          <w:rFonts w:eastAsia="Times New Roman" w:cstheme="minorHAnsi"/>
          <w:color w:val="000000"/>
          <w:sz w:val="21"/>
          <w:szCs w:val="21"/>
          <w:u w:val="single"/>
        </w:rPr>
        <w:t>imeline:</w:t>
      </w:r>
      <w:r w:rsidR="000A3F4C" w:rsidRPr="009D1821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CC722A">
        <w:rPr>
          <w:rFonts w:eastAsia="Times New Roman" w:cstheme="minorHAnsi"/>
          <w:color w:val="000000"/>
          <w:sz w:val="21"/>
          <w:szCs w:val="21"/>
        </w:rPr>
        <w:t>ongoing</w:t>
      </w:r>
      <w:r>
        <w:rPr>
          <w:rFonts w:eastAsia="Times New Roman" w:cstheme="minorHAnsi"/>
          <w:color w:val="000000"/>
          <w:sz w:val="21"/>
          <w:szCs w:val="21"/>
        </w:rPr>
        <w:t xml:space="preserve"> throughout the project</w:t>
      </w:r>
      <w:r w:rsidR="005D41F9">
        <w:rPr>
          <w:rFonts w:eastAsia="Times New Roman" w:cstheme="minorHAnsi"/>
          <w:color w:val="000000"/>
          <w:sz w:val="21"/>
          <w:szCs w:val="21"/>
        </w:rPr>
        <w:t xml:space="preserve"> (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="005D41F9">
        <w:rPr>
          <w:rFonts w:eastAsia="Times New Roman" w:cstheme="minorHAnsi"/>
          <w:color w:val="000000"/>
          <w:sz w:val="21"/>
          <w:szCs w:val="21"/>
        </w:rPr>
        <w:t xml:space="preserve"> 2022 –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="005D41F9" w:rsidRPr="00C62217">
        <w:rPr>
          <w:rFonts w:eastAsia="Times New Roman" w:cstheme="minorHAnsi"/>
          <w:color w:val="000000"/>
          <w:sz w:val="21"/>
          <w:szCs w:val="21"/>
        </w:rPr>
        <w:t xml:space="preserve"> 202</w:t>
      </w:r>
      <w:r w:rsidR="00447CD2">
        <w:rPr>
          <w:rFonts w:eastAsia="Times New Roman" w:cstheme="minorHAnsi"/>
          <w:color w:val="000000"/>
          <w:sz w:val="21"/>
          <w:szCs w:val="21"/>
        </w:rPr>
        <w:t>4</w:t>
      </w:r>
      <w:r w:rsidR="005D41F9" w:rsidRPr="00C62217">
        <w:rPr>
          <w:rFonts w:eastAsia="Times New Roman" w:cstheme="minorHAnsi"/>
          <w:color w:val="000000"/>
          <w:sz w:val="21"/>
          <w:szCs w:val="21"/>
        </w:rPr>
        <w:t>)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5D41F9">
        <w:rPr>
          <w:rFonts w:eastAsia="Times New Roman" w:cstheme="minorHAnsi"/>
          <w:color w:val="000000"/>
          <w:sz w:val="21"/>
          <w:szCs w:val="21"/>
        </w:rPr>
        <w:t xml:space="preserve">which </w:t>
      </w:r>
      <w:r>
        <w:rPr>
          <w:rFonts w:eastAsia="Times New Roman" w:cstheme="minorHAnsi"/>
          <w:color w:val="000000"/>
          <w:sz w:val="21"/>
          <w:szCs w:val="21"/>
        </w:rPr>
        <w:t>extend</w:t>
      </w:r>
      <w:r w:rsidR="005D41F9">
        <w:rPr>
          <w:rFonts w:eastAsia="Times New Roman" w:cstheme="minorHAnsi"/>
          <w:color w:val="000000"/>
          <w:sz w:val="21"/>
          <w:szCs w:val="21"/>
        </w:rPr>
        <w:t>s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5D41F9">
        <w:rPr>
          <w:rFonts w:eastAsia="Times New Roman" w:cstheme="minorHAnsi"/>
          <w:color w:val="000000"/>
          <w:sz w:val="21"/>
          <w:szCs w:val="21"/>
        </w:rPr>
        <w:t xml:space="preserve">beyond </w:t>
      </w:r>
      <w:r>
        <w:rPr>
          <w:rFonts w:eastAsia="Times New Roman" w:cstheme="minorHAnsi"/>
          <w:color w:val="000000"/>
          <w:sz w:val="21"/>
          <w:szCs w:val="21"/>
        </w:rPr>
        <w:t>the PDG funding cycle</w:t>
      </w:r>
      <w:r w:rsidR="003E23E7">
        <w:rPr>
          <w:rFonts w:eastAsia="Times New Roman" w:cstheme="minorHAnsi"/>
          <w:color w:val="000000"/>
          <w:sz w:val="21"/>
          <w:szCs w:val="21"/>
        </w:rPr>
        <w:t xml:space="preserve">. 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The </w:t>
      </w:r>
      <w:r w:rsidR="00D4521E">
        <w:rPr>
          <w:rFonts w:eastAsia="Times New Roman" w:cstheme="minorHAnsi"/>
          <w:color w:val="000000"/>
          <w:sz w:val="21"/>
          <w:szCs w:val="21"/>
        </w:rPr>
        <w:t>Task Force/Work</w:t>
      </w:r>
      <w:r w:rsidR="003E23E7" w:rsidRPr="003E23E7">
        <w:rPr>
          <w:rFonts w:eastAsia="Times New Roman" w:cstheme="minorHAnsi"/>
          <w:color w:val="000000"/>
          <w:sz w:val="21"/>
          <w:szCs w:val="21"/>
        </w:rPr>
        <w:t xml:space="preserve">groups 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will reconvene </w:t>
      </w:r>
      <w:r w:rsidR="003E23E7" w:rsidRPr="003E23E7">
        <w:rPr>
          <w:rFonts w:eastAsia="Times New Roman" w:cstheme="minorHAnsi"/>
          <w:color w:val="000000"/>
          <w:sz w:val="21"/>
          <w:szCs w:val="21"/>
        </w:rPr>
        <w:t xml:space="preserve">when </w:t>
      </w:r>
      <w:r w:rsidR="003F7AF7">
        <w:rPr>
          <w:rFonts w:eastAsia="Times New Roman" w:cstheme="minorHAnsi"/>
          <w:color w:val="000000"/>
          <w:sz w:val="21"/>
          <w:szCs w:val="21"/>
        </w:rPr>
        <w:t>they</w:t>
      </w:r>
      <w:r w:rsidR="003E23E7" w:rsidRPr="003E23E7">
        <w:rPr>
          <w:rFonts w:eastAsia="Times New Roman" w:cstheme="minorHAnsi"/>
          <w:color w:val="000000"/>
          <w:sz w:val="21"/>
          <w:szCs w:val="21"/>
        </w:rPr>
        <w:t xml:space="preserve"> have something</w:t>
      </w:r>
      <w:r w:rsidR="005D41F9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3E23E7" w:rsidRPr="003E23E7">
        <w:rPr>
          <w:rFonts w:eastAsia="Times New Roman" w:cstheme="minorHAnsi"/>
          <w:color w:val="000000"/>
          <w:sz w:val="21"/>
          <w:szCs w:val="21"/>
        </w:rPr>
        <w:t>to respond to, i.e., results from</w:t>
      </w:r>
      <w:r w:rsidR="00D4521E">
        <w:rPr>
          <w:rFonts w:eastAsia="Times New Roman" w:cstheme="minorHAnsi"/>
          <w:color w:val="000000"/>
          <w:sz w:val="21"/>
          <w:szCs w:val="21"/>
        </w:rPr>
        <w:t xml:space="preserve"> activities</w:t>
      </w:r>
      <w:r w:rsidR="003A07C4">
        <w:rPr>
          <w:rFonts w:eastAsia="Times New Roman" w:cstheme="minorHAnsi"/>
          <w:color w:val="000000"/>
          <w:sz w:val="21"/>
          <w:szCs w:val="21"/>
        </w:rPr>
        <w:t xml:space="preserve"> described in #2 and #3</w:t>
      </w:r>
      <w:r w:rsidR="00D4521E">
        <w:rPr>
          <w:rFonts w:eastAsia="Times New Roman" w:cstheme="minorHAnsi"/>
          <w:color w:val="000000"/>
          <w:sz w:val="21"/>
          <w:szCs w:val="21"/>
        </w:rPr>
        <w:t>.</w:t>
      </w:r>
    </w:p>
    <w:p w14:paraId="09670662" w14:textId="77777777" w:rsidR="00CC722A" w:rsidRDefault="00CC722A" w:rsidP="003E23E7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  <w:u w:val="single"/>
        </w:rPr>
      </w:pPr>
    </w:p>
    <w:p w14:paraId="110B4BD4" w14:textId="6666654F" w:rsidR="00476289" w:rsidRDefault="00476289" w:rsidP="003E23E7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  <w:u w:val="single"/>
        </w:rPr>
        <w:t>Update:</w:t>
      </w:r>
      <w:r>
        <w:rPr>
          <w:rFonts w:eastAsia="Times New Roman" w:cstheme="minorHAnsi"/>
          <w:color w:val="000000"/>
          <w:sz w:val="21"/>
          <w:szCs w:val="21"/>
        </w:rPr>
        <w:t xml:space="preserve"> Task Fo</w:t>
      </w:r>
      <w:r w:rsidR="00CC722A">
        <w:rPr>
          <w:rFonts w:eastAsia="Times New Roman" w:cstheme="minorHAnsi"/>
          <w:color w:val="000000"/>
          <w:sz w:val="21"/>
          <w:szCs w:val="21"/>
        </w:rPr>
        <w:t xml:space="preserve">rce and workgroups are 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kept </w:t>
      </w:r>
      <w:r w:rsidR="00CC722A">
        <w:rPr>
          <w:rFonts w:eastAsia="Times New Roman" w:cstheme="minorHAnsi"/>
          <w:color w:val="000000"/>
          <w:sz w:val="21"/>
          <w:szCs w:val="21"/>
        </w:rPr>
        <w:t>informed of the progress of other activities with plans to reconvene in 2023. A stakeholder engagement plan is forthcoming utilizing a blending of funding sources.</w:t>
      </w:r>
    </w:p>
    <w:p w14:paraId="2DF0E12B" w14:textId="77777777" w:rsidR="003E23E7" w:rsidRDefault="003E23E7" w:rsidP="003E23E7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</w:p>
    <w:p w14:paraId="09031816" w14:textId="2F4E386C" w:rsidR="003E23E7" w:rsidRDefault="003E23E7" w:rsidP="003E23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</w:rPr>
        <w:t xml:space="preserve">Conduct a fiscal analysis will be completed to better understand the true costs of high-quality </w:t>
      </w:r>
      <w:r w:rsidR="00CC722A" w:rsidRPr="003E23E7">
        <w:rPr>
          <w:rFonts w:eastAsia="Times New Roman" w:cstheme="minorHAnsi"/>
          <w:color w:val="000000"/>
          <w:sz w:val="21"/>
          <w:szCs w:val="21"/>
        </w:rPr>
        <w:t>childcare</w:t>
      </w:r>
      <w:r w:rsidRPr="003E23E7">
        <w:rPr>
          <w:rFonts w:eastAsia="Times New Roman" w:cstheme="minorHAnsi"/>
          <w:color w:val="000000"/>
          <w:sz w:val="21"/>
          <w:szCs w:val="21"/>
        </w:rPr>
        <w:t xml:space="preserve"> and the revenues available to cover these costs. </w:t>
      </w:r>
      <w:r w:rsidR="000C643D">
        <w:rPr>
          <w:rFonts w:eastAsia="Times New Roman" w:cstheme="minorHAnsi"/>
          <w:color w:val="000000"/>
          <w:sz w:val="21"/>
          <w:szCs w:val="21"/>
        </w:rPr>
        <w:t xml:space="preserve">Develop </w:t>
      </w:r>
      <w:r w:rsidR="000C643D" w:rsidRPr="00603643">
        <w:rPr>
          <w:rFonts w:eastAsia="Calibri" w:cstheme="minorHAnsi"/>
          <w:color w:val="000000"/>
          <w:sz w:val="21"/>
          <w:szCs w:val="21"/>
          <w:shd w:val="clear" w:color="auto" w:fill="FFFFFF"/>
        </w:rPr>
        <w:t xml:space="preserve">recommendations </w:t>
      </w:r>
      <w:r w:rsidR="000C643D">
        <w:rPr>
          <w:rFonts w:eastAsia="Calibri" w:cstheme="minorHAnsi"/>
          <w:color w:val="000000"/>
          <w:sz w:val="21"/>
          <w:szCs w:val="21"/>
          <w:shd w:val="clear" w:color="auto" w:fill="FFFFFF"/>
        </w:rPr>
        <w:t xml:space="preserve">for changes to state funding stream requirements to cover the cost of quality, </w:t>
      </w:r>
      <w:r w:rsidR="000C643D" w:rsidRPr="00603643">
        <w:rPr>
          <w:rFonts w:eastAsia="Calibri" w:cstheme="minorHAnsi"/>
          <w:color w:val="000000"/>
          <w:sz w:val="21"/>
          <w:szCs w:val="21"/>
          <w:shd w:val="clear" w:color="auto" w:fill="FFFFFF"/>
        </w:rPr>
        <w:t>based on findings</w:t>
      </w:r>
      <w:r w:rsidR="000C643D">
        <w:rPr>
          <w:rFonts w:eastAsia="Calibri" w:cstheme="minorHAnsi"/>
          <w:color w:val="000000"/>
          <w:sz w:val="21"/>
          <w:szCs w:val="21"/>
          <w:shd w:val="clear" w:color="auto" w:fill="FFFFFF"/>
        </w:rPr>
        <w:t xml:space="preserve"> of:</w:t>
      </w:r>
    </w:p>
    <w:p w14:paraId="6DDB752D" w14:textId="77777777" w:rsidR="003E23E7" w:rsidRDefault="003E23E7" w:rsidP="003E23E7">
      <w:pPr>
        <w:pStyle w:val="ListParagraph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3A28619D" w14:textId="002C8EB3" w:rsidR="003E23E7" w:rsidRPr="003E23E7" w:rsidRDefault="003E23E7" w:rsidP="003E23E7">
      <w:pPr>
        <w:pStyle w:val="ListParagraph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</w:rPr>
        <w:t xml:space="preserve">The fiscal analysis will comprise two </w:t>
      </w:r>
      <w:r w:rsidR="000C643D">
        <w:rPr>
          <w:rFonts w:eastAsia="Times New Roman" w:cstheme="minorHAnsi"/>
          <w:color w:val="000000"/>
          <w:sz w:val="21"/>
          <w:szCs w:val="21"/>
        </w:rPr>
        <w:t xml:space="preserve">inter-related </w:t>
      </w:r>
      <w:r w:rsidRPr="003E23E7">
        <w:rPr>
          <w:rFonts w:eastAsia="Times New Roman" w:cstheme="minorHAnsi"/>
          <w:color w:val="000000"/>
          <w:sz w:val="21"/>
          <w:szCs w:val="21"/>
        </w:rPr>
        <w:t>parts:</w:t>
      </w:r>
    </w:p>
    <w:p w14:paraId="4C2A0A86" w14:textId="77777777" w:rsidR="000C643D" w:rsidRPr="003E23E7" w:rsidRDefault="000C643D" w:rsidP="000C643D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</w:rPr>
        <w:t>An analysis of the revenues available to support access to ECE in Nebraska, including a close examination of blending and braiding practices and qualitative analysis to understand provider experiences accessing revenue streams</w:t>
      </w:r>
      <w:r>
        <w:rPr>
          <w:rFonts w:eastAsia="Times New Roman" w:cstheme="minorHAnsi"/>
          <w:color w:val="000000"/>
          <w:sz w:val="21"/>
          <w:szCs w:val="21"/>
        </w:rPr>
        <w:t>.</w:t>
      </w:r>
    </w:p>
    <w:p w14:paraId="72D6AF69" w14:textId="762BA9FE" w:rsidR="000C643D" w:rsidRPr="00CC722A" w:rsidRDefault="000C643D" w:rsidP="00CC722A">
      <w:pPr>
        <w:spacing w:after="0" w:line="240" w:lineRule="auto"/>
        <w:ind w:left="1440"/>
        <w:rPr>
          <w:rFonts w:eastAsia="Times New Roman" w:cstheme="minorHAnsi"/>
          <w:color w:val="000000"/>
          <w:sz w:val="21"/>
          <w:szCs w:val="21"/>
        </w:rPr>
      </w:pPr>
      <w:r w:rsidRPr="00BE469F">
        <w:rPr>
          <w:rFonts w:eastAsia="Times New Roman" w:cstheme="minorHAnsi"/>
          <w:color w:val="000000"/>
          <w:sz w:val="21"/>
          <w:szCs w:val="21"/>
          <w:u w:val="single"/>
        </w:rPr>
        <w:t>Timeline:</w:t>
      </w:r>
      <w:r w:rsidRPr="00BE469F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Pr="00BE469F">
        <w:rPr>
          <w:rFonts w:eastAsia="Times New Roman" w:cstheme="minorHAnsi"/>
          <w:color w:val="000000"/>
          <w:sz w:val="21"/>
          <w:szCs w:val="21"/>
        </w:rPr>
        <w:t xml:space="preserve"> 202</w:t>
      </w:r>
      <w:r>
        <w:rPr>
          <w:rFonts w:eastAsia="Times New Roman" w:cstheme="minorHAnsi"/>
          <w:color w:val="000000"/>
          <w:sz w:val="21"/>
          <w:szCs w:val="21"/>
        </w:rPr>
        <w:t>2</w:t>
      </w:r>
      <w:r w:rsidRPr="00BE469F">
        <w:rPr>
          <w:rFonts w:eastAsia="Times New Roman" w:cstheme="minorHAnsi"/>
          <w:color w:val="000000"/>
          <w:sz w:val="21"/>
          <w:szCs w:val="21"/>
        </w:rPr>
        <w:t xml:space="preserve"> –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Pr="00BE469F">
        <w:rPr>
          <w:rFonts w:eastAsia="Times New Roman" w:cstheme="minorHAnsi"/>
          <w:color w:val="000000"/>
          <w:sz w:val="21"/>
          <w:szCs w:val="21"/>
        </w:rPr>
        <w:t xml:space="preserve"> 202</w:t>
      </w:r>
      <w:r w:rsidR="00447CD2">
        <w:rPr>
          <w:rFonts w:eastAsia="Times New Roman" w:cstheme="minorHAnsi"/>
          <w:color w:val="000000"/>
          <w:sz w:val="21"/>
          <w:szCs w:val="21"/>
        </w:rPr>
        <w:t>3</w:t>
      </w:r>
    </w:p>
    <w:p w14:paraId="0B64E776" w14:textId="77777777" w:rsidR="00CC722A" w:rsidRDefault="00CC722A" w:rsidP="000C643D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sz w:val="21"/>
          <w:szCs w:val="21"/>
        </w:rPr>
      </w:pPr>
    </w:p>
    <w:p w14:paraId="7B5D5E40" w14:textId="6F8AE37F" w:rsidR="003E23E7" w:rsidRPr="003E23E7" w:rsidRDefault="003E23E7" w:rsidP="003E23E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</w:rPr>
        <w:t>A cost estimation study to estimate the true cost of providing </w:t>
      </w:r>
      <w:r w:rsidR="00CC722A" w:rsidRPr="003E23E7">
        <w:rPr>
          <w:rFonts w:eastAsia="Times New Roman" w:cstheme="minorHAnsi"/>
          <w:color w:val="000000"/>
          <w:sz w:val="21"/>
          <w:szCs w:val="21"/>
        </w:rPr>
        <w:t>childcare</w:t>
      </w:r>
      <w:r w:rsidRPr="003E23E7">
        <w:rPr>
          <w:rFonts w:eastAsia="Times New Roman" w:cstheme="minorHAnsi"/>
          <w:color w:val="000000"/>
          <w:sz w:val="21"/>
          <w:szCs w:val="21"/>
        </w:rPr>
        <w:t xml:space="preserve"> that meets licensing standards and higher standards related to Step Up to Quality. </w:t>
      </w:r>
    </w:p>
    <w:p w14:paraId="39D9583B" w14:textId="3CD0DEA3" w:rsidR="003E23E7" w:rsidRDefault="003E23E7" w:rsidP="000C643D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sz w:val="21"/>
          <w:szCs w:val="21"/>
        </w:rPr>
      </w:pPr>
      <w:r w:rsidRPr="003E23E7">
        <w:rPr>
          <w:rFonts w:eastAsia="Times New Roman" w:cstheme="minorHAnsi"/>
          <w:color w:val="000000"/>
          <w:sz w:val="21"/>
          <w:szCs w:val="21"/>
          <w:u w:val="single"/>
        </w:rPr>
        <w:t>Timeline:</w:t>
      </w:r>
      <w:r w:rsidRPr="003E23E7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47CD2">
        <w:rPr>
          <w:rFonts w:eastAsia="Times New Roman" w:cstheme="minorHAnsi"/>
          <w:color w:val="000000"/>
          <w:sz w:val="21"/>
          <w:szCs w:val="21"/>
        </w:rPr>
        <w:t>Fall 2022</w:t>
      </w:r>
      <w:r w:rsidRPr="003E23E7">
        <w:rPr>
          <w:rFonts w:eastAsia="Times New Roman" w:cstheme="minorHAnsi"/>
          <w:color w:val="000000"/>
          <w:sz w:val="21"/>
          <w:szCs w:val="21"/>
        </w:rPr>
        <w:t xml:space="preserve"> –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Pr="003E23E7">
        <w:rPr>
          <w:rFonts w:eastAsia="Times New Roman" w:cstheme="minorHAnsi"/>
          <w:color w:val="000000"/>
          <w:sz w:val="21"/>
          <w:szCs w:val="21"/>
        </w:rPr>
        <w:t xml:space="preserve"> 2023</w:t>
      </w:r>
    </w:p>
    <w:p w14:paraId="4B6A2373" w14:textId="77777777" w:rsidR="00CC722A" w:rsidRPr="000C643D" w:rsidRDefault="00CC722A" w:rsidP="000C643D">
      <w:pPr>
        <w:pStyle w:val="ListParagraph"/>
        <w:spacing w:after="0" w:line="240" w:lineRule="auto"/>
        <w:ind w:left="1440"/>
        <w:rPr>
          <w:rFonts w:eastAsia="Times New Roman" w:cstheme="minorHAnsi"/>
          <w:color w:val="000000"/>
          <w:sz w:val="21"/>
          <w:szCs w:val="21"/>
        </w:rPr>
      </w:pPr>
    </w:p>
    <w:p w14:paraId="63DF49F0" w14:textId="6C3B0BAE" w:rsidR="00CC722A" w:rsidRDefault="00CC722A" w:rsidP="003F7AF7">
      <w:pPr>
        <w:spacing w:after="0" w:line="240" w:lineRule="auto"/>
        <w:ind w:left="1440"/>
        <w:rPr>
          <w:rFonts w:eastAsia="Times New Roman" w:cstheme="minorHAnsi"/>
          <w:color w:val="000000"/>
          <w:sz w:val="21"/>
          <w:szCs w:val="21"/>
        </w:rPr>
      </w:pPr>
      <w:r w:rsidRPr="00CC722A">
        <w:rPr>
          <w:rFonts w:eastAsia="Times New Roman" w:cstheme="minorHAnsi"/>
          <w:color w:val="000000"/>
          <w:sz w:val="21"/>
          <w:szCs w:val="21"/>
          <w:u w:val="single"/>
        </w:rPr>
        <w:t>Update:</w:t>
      </w:r>
      <w:r>
        <w:rPr>
          <w:rFonts w:eastAsia="Times New Roman" w:cstheme="minorHAnsi"/>
          <w:color w:val="000000"/>
          <w:sz w:val="21"/>
          <w:szCs w:val="21"/>
        </w:rPr>
        <w:t xml:space="preserve"> Fiscal Analysis and Cost Modeling Advisory Workgroup kicked off on Oct. 5</w:t>
      </w:r>
      <w:r w:rsidRPr="00CC722A">
        <w:rPr>
          <w:rFonts w:eastAsia="Times New Roman" w:cstheme="minorHAnsi"/>
          <w:color w:val="000000"/>
          <w:sz w:val="21"/>
          <w:szCs w:val="21"/>
          <w:vertAlign w:val="superscript"/>
        </w:rPr>
        <w:t>th</w:t>
      </w:r>
      <w:r>
        <w:rPr>
          <w:rFonts w:eastAsia="Times New Roman" w:cstheme="minorHAnsi"/>
          <w:color w:val="000000"/>
          <w:sz w:val="21"/>
          <w:szCs w:val="21"/>
        </w:rPr>
        <w:t xml:space="preserve"> with 26 representatives from public and private funding and childcare providers. Data collection on direct service cost drivers and systems costs will be collected beginning of 2023 with a cost model developed by Fall 2023.  </w:t>
      </w:r>
    </w:p>
    <w:p w14:paraId="787A7461" w14:textId="77777777" w:rsidR="00CC722A" w:rsidRDefault="00CC722A" w:rsidP="00BE469F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6259F528" w14:textId="08246D1C" w:rsidR="00BE469F" w:rsidRDefault="00BE469F" w:rsidP="00BE469F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 xml:space="preserve">Utilizing Pritzker Children’s Initiative funds, FFN </w:t>
      </w:r>
      <w:r w:rsidR="000C643D">
        <w:rPr>
          <w:rFonts w:eastAsia="Times New Roman" w:cstheme="minorHAnsi"/>
          <w:color w:val="000000"/>
          <w:sz w:val="21"/>
          <w:szCs w:val="21"/>
        </w:rPr>
        <w:t xml:space="preserve">has </w:t>
      </w:r>
      <w:r>
        <w:rPr>
          <w:rFonts w:eastAsia="Times New Roman" w:cstheme="minorHAnsi"/>
          <w:color w:val="000000"/>
          <w:sz w:val="21"/>
          <w:szCs w:val="21"/>
        </w:rPr>
        <w:t>contract</w:t>
      </w:r>
      <w:r w:rsidR="000C643D">
        <w:rPr>
          <w:rFonts w:eastAsia="Times New Roman" w:cstheme="minorHAnsi"/>
          <w:color w:val="000000"/>
          <w:sz w:val="21"/>
          <w:szCs w:val="21"/>
        </w:rPr>
        <w:t>ed</w:t>
      </w:r>
      <w:r w:rsidRPr="00BE469F">
        <w:rPr>
          <w:rFonts w:eastAsia="Times New Roman" w:cstheme="minorHAnsi"/>
          <w:color w:val="000000"/>
          <w:sz w:val="21"/>
          <w:szCs w:val="21"/>
        </w:rPr>
        <w:t xml:space="preserve"> with Inclusion, Diversity, &amp; Equity Assessments </w:t>
      </w:r>
      <w:r w:rsidRPr="00BE469F">
        <w:rPr>
          <w:rFonts w:eastAsia="Times New Roman" w:cstheme="minorHAnsi"/>
          <w:color w:val="0070C0"/>
          <w:sz w:val="21"/>
          <w:szCs w:val="21"/>
        </w:rPr>
        <w:t>(</w:t>
      </w:r>
      <w:hyperlink r:id="rId10" w:history="1">
        <w:r w:rsidRPr="00BE469F">
          <w:rPr>
            <w:rStyle w:val="Hyperlink"/>
            <w:rFonts w:eastAsia="Times New Roman" w:cstheme="minorHAnsi"/>
            <w:sz w:val="21"/>
            <w:szCs w:val="21"/>
          </w:rPr>
          <w:t>IDEA) Consulting</w:t>
        </w:r>
      </w:hyperlink>
      <w:r w:rsidRPr="00BE469F">
        <w:rPr>
          <w:rFonts w:eastAsia="Times New Roman" w:cstheme="minorHAnsi"/>
          <w:color w:val="000000"/>
          <w:sz w:val="21"/>
          <w:szCs w:val="21"/>
        </w:rPr>
        <w:t xml:space="preserve"> to</w:t>
      </w:r>
      <w:r w:rsidR="006D0029">
        <w:rPr>
          <w:rFonts w:eastAsia="Times New Roman" w:cstheme="minorHAnsi"/>
          <w:color w:val="000000"/>
          <w:sz w:val="21"/>
          <w:szCs w:val="21"/>
        </w:rPr>
        <w:t>:</w:t>
      </w:r>
    </w:p>
    <w:p w14:paraId="14618407" w14:textId="77777777" w:rsidR="006D0029" w:rsidRPr="00BE469F" w:rsidRDefault="006D0029" w:rsidP="00BE469F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64D2B145" w14:textId="338711A1" w:rsidR="003E23E7" w:rsidRDefault="006D0029" w:rsidP="003E23E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C</w:t>
      </w:r>
      <w:r w:rsidRPr="006D0029">
        <w:rPr>
          <w:rFonts w:eastAsia="Times New Roman" w:cstheme="minorHAnsi"/>
          <w:color w:val="000000"/>
          <w:sz w:val="21"/>
          <w:szCs w:val="21"/>
        </w:rPr>
        <w:t>onduct an equity feasibility analysis of the data infrastructure for ECIDS. IDEA will conduct a feasibility study examining and defining the efforts necessary to achieve a data system capable of answering questions regarding equitable practices that may impact policies or funding streams on children, families, and providers.</w:t>
      </w:r>
      <w:r>
        <w:rPr>
          <w:rFonts w:eastAsia="Times New Roman" w:cstheme="minorHAnsi"/>
          <w:color w:val="000000"/>
          <w:sz w:val="21"/>
          <w:szCs w:val="21"/>
        </w:rPr>
        <w:t xml:space="preserve"> We aim to </w:t>
      </w:r>
      <w:r w:rsidRPr="006D0029">
        <w:rPr>
          <w:rFonts w:eastAsia="Times New Roman" w:cstheme="minorHAnsi"/>
          <w:color w:val="000000"/>
          <w:sz w:val="21"/>
          <w:szCs w:val="21"/>
        </w:rPr>
        <w:t>permanently embed equity into the architecture of our early childhood data systems.</w:t>
      </w:r>
      <w:r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23C41926" w14:textId="77777777" w:rsidR="006D0029" w:rsidRDefault="006D0029" w:rsidP="006D0029">
      <w:pPr>
        <w:spacing w:after="0" w:line="240" w:lineRule="auto"/>
        <w:ind w:firstLine="720"/>
        <w:rPr>
          <w:rFonts w:eastAsia="Times New Roman" w:cstheme="minorHAnsi"/>
          <w:color w:val="000000"/>
          <w:sz w:val="21"/>
          <w:szCs w:val="21"/>
        </w:rPr>
      </w:pPr>
    </w:p>
    <w:p w14:paraId="10B6DCBB" w14:textId="5B5D4244" w:rsidR="006D0029" w:rsidRPr="006D0029" w:rsidRDefault="006D0029" w:rsidP="006D0029">
      <w:pPr>
        <w:spacing w:after="0" w:line="240" w:lineRule="auto"/>
        <w:ind w:firstLine="720"/>
        <w:rPr>
          <w:rFonts w:eastAsia="Times New Roman" w:cstheme="minorHAnsi"/>
          <w:color w:val="000000"/>
          <w:sz w:val="21"/>
          <w:szCs w:val="21"/>
        </w:rPr>
      </w:pPr>
      <w:r w:rsidRPr="006D0029">
        <w:rPr>
          <w:rFonts w:eastAsia="Times New Roman" w:cstheme="minorHAnsi"/>
          <w:color w:val="000000"/>
          <w:sz w:val="21"/>
          <w:szCs w:val="21"/>
        </w:rPr>
        <w:t xml:space="preserve">Overarching Goals of Equity Feasibility Study: </w:t>
      </w:r>
    </w:p>
    <w:p w14:paraId="4D49454D" w14:textId="60D43D2C" w:rsidR="006D0029" w:rsidRDefault="006D0029" w:rsidP="006D002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6D0029">
        <w:rPr>
          <w:rFonts w:eastAsia="Times New Roman" w:cstheme="minorHAnsi"/>
          <w:color w:val="000000"/>
          <w:sz w:val="21"/>
          <w:szCs w:val="21"/>
        </w:rPr>
        <w:t xml:space="preserve">Establish a data-driven foundation to articulate disparities in policies, practices, and funding that have </w:t>
      </w:r>
      <w:r w:rsidR="000C643D">
        <w:rPr>
          <w:rFonts w:eastAsia="Times New Roman" w:cstheme="minorHAnsi"/>
          <w:color w:val="000000"/>
          <w:sz w:val="21"/>
          <w:szCs w:val="21"/>
        </w:rPr>
        <w:t xml:space="preserve">an </w:t>
      </w:r>
      <w:r w:rsidRPr="006D0029">
        <w:rPr>
          <w:rFonts w:eastAsia="Times New Roman" w:cstheme="minorHAnsi"/>
          <w:color w:val="000000"/>
          <w:sz w:val="21"/>
          <w:szCs w:val="21"/>
        </w:rPr>
        <w:t xml:space="preserve">inequitable impact on children, families, and </w:t>
      </w:r>
      <w:proofErr w:type="gramStart"/>
      <w:r w:rsidRPr="006D0029">
        <w:rPr>
          <w:rFonts w:eastAsia="Times New Roman" w:cstheme="minorHAnsi"/>
          <w:color w:val="000000"/>
          <w:sz w:val="21"/>
          <w:szCs w:val="21"/>
        </w:rPr>
        <w:t>providers;</w:t>
      </w:r>
      <w:proofErr w:type="gramEnd"/>
      <w:r w:rsidRPr="006D0029">
        <w:rPr>
          <w:rFonts w:eastAsia="Times New Roman" w:cstheme="minorHAnsi"/>
          <w:color w:val="000000"/>
          <w:sz w:val="21"/>
          <w:szCs w:val="21"/>
        </w:rPr>
        <w:t xml:space="preserve"> </w:t>
      </w:r>
    </w:p>
    <w:p w14:paraId="1B76CE58" w14:textId="77777777" w:rsidR="006D0029" w:rsidRDefault="006D0029" w:rsidP="006D002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6D0029">
        <w:rPr>
          <w:rFonts w:eastAsia="Times New Roman" w:cstheme="minorHAnsi"/>
          <w:color w:val="000000"/>
          <w:sz w:val="21"/>
          <w:szCs w:val="21"/>
        </w:rPr>
        <w:t xml:space="preserve">Inform the development of an equity use case for ECIDS, articulate data needed but currently unavailable for equity work, and begin building a plan to address these data </w:t>
      </w:r>
      <w:proofErr w:type="gramStart"/>
      <w:r w:rsidRPr="006D0029">
        <w:rPr>
          <w:rFonts w:eastAsia="Times New Roman" w:cstheme="minorHAnsi"/>
          <w:color w:val="000000"/>
          <w:sz w:val="21"/>
          <w:szCs w:val="21"/>
        </w:rPr>
        <w:t>needs;</w:t>
      </w:r>
      <w:proofErr w:type="gramEnd"/>
    </w:p>
    <w:p w14:paraId="5FBC0D7A" w14:textId="3A56FF3D" w:rsidR="006D0029" w:rsidRDefault="006D0029" w:rsidP="006D002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 w:rsidRPr="006D0029">
        <w:rPr>
          <w:rFonts w:eastAsia="Times New Roman" w:cstheme="minorHAnsi"/>
          <w:color w:val="000000"/>
          <w:sz w:val="21"/>
          <w:szCs w:val="21"/>
        </w:rPr>
        <w:t>Utilize analyses to advance equity-based recommendations in the Shared Leadership and Financing Implementation Action Plan.</w:t>
      </w:r>
    </w:p>
    <w:p w14:paraId="2D909A3B" w14:textId="0D0C11BC" w:rsidR="00C4157E" w:rsidRPr="00C4157E" w:rsidRDefault="00C4157E" w:rsidP="00C4157E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C4157E">
        <w:rPr>
          <w:rFonts w:eastAsia="Times New Roman" w:cstheme="minorHAnsi"/>
          <w:color w:val="000000"/>
          <w:sz w:val="21"/>
          <w:szCs w:val="21"/>
          <w:u w:val="single"/>
        </w:rPr>
        <w:t>Timeline:</w:t>
      </w:r>
      <w:r w:rsidRPr="00C4157E">
        <w:rPr>
          <w:rFonts w:eastAsia="Times New Roman" w:cstheme="minorHAnsi"/>
          <w:color w:val="000000"/>
          <w:sz w:val="21"/>
          <w:szCs w:val="21"/>
        </w:rPr>
        <w:t xml:space="preserve">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="00D4521E">
        <w:rPr>
          <w:rFonts w:eastAsia="Times New Roman" w:cstheme="minorHAnsi"/>
          <w:color w:val="000000"/>
          <w:sz w:val="21"/>
          <w:szCs w:val="21"/>
        </w:rPr>
        <w:t xml:space="preserve"> 2022 – </w:t>
      </w:r>
      <w:r w:rsidR="00447CD2">
        <w:rPr>
          <w:rFonts w:eastAsia="Times New Roman" w:cstheme="minorHAnsi"/>
          <w:color w:val="000000"/>
          <w:sz w:val="21"/>
          <w:szCs w:val="21"/>
        </w:rPr>
        <w:t>Fall</w:t>
      </w:r>
      <w:r w:rsidRPr="00C4157E">
        <w:rPr>
          <w:rFonts w:eastAsia="Times New Roman" w:cstheme="minorHAnsi"/>
          <w:color w:val="000000"/>
          <w:sz w:val="21"/>
          <w:szCs w:val="21"/>
        </w:rPr>
        <w:t xml:space="preserve"> 2023</w:t>
      </w:r>
    </w:p>
    <w:p w14:paraId="58074E48" w14:textId="755CE25D" w:rsidR="000A3F4C" w:rsidRDefault="000A3F4C" w:rsidP="000A3F4C">
      <w:pPr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ab/>
      </w:r>
    </w:p>
    <w:p w14:paraId="076506B2" w14:textId="0BCE9309" w:rsidR="00CC722A" w:rsidRPr="003F7AF7" w:rsidRDefault="00CC722A" w:rsidP="003F7AF7">
      <w:pPr>
        <w:spacing w:after="0" w:line="240" w:lineRule="auto"/>
        <w:ind w:left="720"/>
        <w:rPr>
          <w:rFonts w:eastAsia="Times New Roman" w:cstheme="minorHAnsi"/>
          <w:color w:val="000000"/>
          <w:sz w:val="21"/>
          <w:szCs w:val="21"/>
        </w:rPr>
      </w:pPr>
      <w:r w:rsidRPr="00CC722A">
        <w:rPr>
          <w:rFonts w:eastAsia="Times New Roman" w:cstheme="minorHAnsi"/>
          <w:color w:val="000000"/>
          <w:sz w:val="21"/>
          <w:szCs w:val="21"/>
          <w:u w:val="single"/>
        </w:rPr>
        <w:t>Update:</w:t>
      </w:r>
      <w:r w:rsidRPr="00CC722A">
        <w:rPr>
          <w:rFonts w:eastAsia="Times New Roman" w:cstheme="minorHAnsi"/>
          <w:color w:val="000000"/>
          <w:sz w:val="21"/>
          <w:szCs w:val="21"/>
        </w:rPr>
        <w:t xml:space="preserve"> IDEA Consulting is 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connecting with stakeholders to collect input on a working definition of </w:t>
      </w:r>
      <w:r w:rsidR="003F7AF7" w:rsidRPr="003F7AF7">
        <w:rPr>
          <w:rFonts w:eastAsia="Times New Roman" w:cstheme="minorHAnsi"/>
          <w:i/>
          <w:iCs/>
          <w:color w:val="000000"/>
          <w:sz w:val="21"/>
          <w:szCs w:val="21"/>
        </w:rPr>
        <w:t>equity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 related to </w:t>
      </w:r>
      <w:r w:rsidR="003F7AF7" w:rsidRPr="003F7AF7">
        <w:rPr>
          <w:rFonts w:eastAsia="Times New Roman" w:cstheme="minorHAnsi"/>
          <w:color w:val="000000"/>
          <w:sz w:val="21"/>
          <w:szCs w:val="21"/>
        </w:rPr>
        <w:t xml:space="preserve">Phase I: Initial Engagement with </w:t>
      </w:r>
      <w:proofErr w:type="gramStart"/>
      <w:r w:rsidR="003F7AF7" w:rsidRPr="003F7AF7">
        <w:rPr>
          <w:rFonts w:eastAsia="Times New Roman" w:cstheme="minorHAnsi"/>
          <w:color w:val="000000"/>
          <w:sz w:val="21"/>
          <w:szCs w:val="21"/>
        </w:rPr>
        <w:t>Stakeholders</w:t>
      </w:r>
      <w:r w:rsidR="003F7AF7">
        <w:rPr>
          <w:rFonts w:eastAsia="Times New Roman" w:cstheme="minorHAnsi"/>
          <w:color w:val="000000"/>
          <w:sz w:val="21"/>
          <w:szCs w:val="21"/>
        </w:rPr>
        <w:t>, and</w:t>
      </w:r>
      <w:proofErr w:type="gramEnd"/>
      <w:r w:rsidR="003F7AF7">
        <w:rPr>
          <w:rFonts w:eastAsia="Times New Roman" w:cstheme="minorHAnsi"/>
          <w:color w:val="000000"/>
          <w:sz w:val="21"/>
          <w:szCs w:val="21"/>
        </w:rPr>
        <w:t xml:space="preserve"> preparing for </w:t>
      </w:r>
      <w:r w:rsidR="003F7AF7" w:rsidRPr="003F7AF7">
        <w:rPr>
          <w:rFonts w:eastAsia="Times New Roman" w:cstheme="minorHAnsi"/>
          <w:color w:val="000000"/>
          <w:sz w:val="21"/>
          <w:szCs w:val="21"/>
        </w:rPr>
        <w:t>Phase II: Equity Measurement Appraisal</w:t>
      </w:r>
      <w:r w:rsidR="003F7AF7">
        <w:rPr>
          <w:rFonts w:eastAsia="Times New Roman" w:cstheme="minorHAnsi"/>
          <w:color w:val="000000"/>
          <w:sz w:val="21"/>
          <w:szCs w:val="21"/>
        </w:rPr>
        <w:t xml:space="preserve">. </w:t>
      </w:r>
    </w:p>
    <w:sectPr w:rsidR="00CC722A" w:rsidRPr="003F7A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C0D0" w14:textId="77777777" w:rsidR="00C62217" w:rsidRDefault="00C62217" w:rsidP="00C62217">
      <w:pPr>
        <w:spacing w:after="0" w:line="240" w:lineRule="auto"/>
      </w:pPr>
      <w:r>
        <w:separator/>
      </w:r>
    </w:p>
  </w:endnote>
  <w:endnote w:type="continuationSeparator" w:id="0">
    <w:p w14:paraId="61EBA5DF" w14:textId="77777777" w:rsidR="00C62217" w:rsidRDefault="00C62217" w:rsidP="00C6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4BC0" w14:textId="4BE5A1BA" w:rsidR="00C62217" w:rsidRDefault="00C62217">
    <w:pPr>
      <w:pStyle w:val="Footer"/>
    </w:pPr>
    <w:r>
      <w:ptab w:relativeTo="margin" w:alignment="center" w:leader="none"/>
    </w:r>
    <w:r>
      <w:ptab w:relativeTo="margin" w:alignment="right" w:leader="none"/>
    </w:r>
    <w:r w:rsidR="00A404C5">
      <w:t>9/23/22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02CF" w14:textId="77777777" w:rsidR="00C62217" w:rsidRDefault="00C62217" w:rsidP="00C62217">
      <w:pPr>
        <w:spacing w:after="0" w:line="240" w:lineRule="auto"/>
      </w:pPr>
      <w:r>
        <w:separator/>
      </w:r>
    </w:p>
  </w:footnote>
  <w:footnote w:type="continuationSeparator" w:id="0">
    <w:p w14:paraId="091A77C9" w14:textId="77777777" w:rsidR="00C62217" w:rsidRDefault="00C62217" w:rsidP="00C62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FA5"/>
    <w:multiLevelType w:val="hybridMultilevel"/>
    <w:tmpl w:val="AEFC66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541057"/>
    <w:multiLevelType w:val="hybridMultilevel"/>
    <w:tmpl w:val="3056AA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AA1A34"/>
    <w:multiLevelType w:val="hybridMultilevel"/>
    <w:tmpl w:val="FC248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982358"/>
    <w:multiLevelType w:val="hybridMultilevel"/>
    <w:tmpl w:val="19D2D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07CC3"/>
    <w:multiLevelType w:val="multilevel"/>
    <w:tmpl w:val="25D857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597828">
    <w:abstractNumId w:val="4"/>
  </w:num>
  <w:num w:numId="2" w16cid:durableId="1670406837">
    <w:abstractNumId w:val="0"/>
  </w:num>
  <w:num w:numId="3" w16cid:durableId="1512990529">
    <w:abstractNumId w:val="1"/>
  </w:num>
  <w:num w:numId="4" w16cid:durableId="952246066">
    <w:abstractNumId w:val="3"/>
  </w:num>
  <w:num w:numId="5" w16cid:durableId="2016952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4C"/>
    <w:rsid w:val="000A3F4C"/>
    <w:rsid w:val="000C643D"/>
    <w:rsid w:val="003A07C4"/>
    <w:rsid w:val="003E23E7"/>
    <w:rsid w:val="003F7AF7"/>
    <w:rsid w:val="00441510"/>
    <w:rsid w:val="00447CD2"/>
    <w:rsid w:val="00476289"/>
    <w:rsid w:val="005D41F9"/>
    <w:rsid w:val="00670044"/>
    <w:rsid w:val="006D0029"/>
    <w:rsid w:val="009B3F84"/>
    <w:rsid w:val="009C5078"/>
    <w:rsid w:val="009D1821"/>
    <w:rsid w:val="00A404C5"/>
    <w:rsid w:val="00BE469F"/>
    <w:rsid w:val="00C4157E"/>
    <w:rsid w:val="00C62217"/>
    <w:rsid w:val="00CC722A"/>
    <w:rsid w:val="00D4521E"/>
    <w:rsid w:val="00F86B7F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2DD5"/>
  <w15:chartTrackingRefBased/>
  <w15:docId w15:val="{1EC4FFBB-9922-4825-BFB9-EE9C7C0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6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17"/>
  </w:style>
  <w:style w:type="paragraph" w:styleId="Footer">
    <w:name w:val="footer"/>
    <w:basedOn w:val="Normal"/>
    <w:link w:val="FooterChar"/>
    <w:uiPriority w:val="99"/>
    <w:unhideWhenUsed/>
    <w:rsid w:val="00C6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17"/>
  </w:style>
  <w:style w:type="paragraph" w:styleId="NormalWeb">
    <w:name w:val="Normal (Web)"/>
    <w:basedOn w:val="Normal"/>
    <w:uiPriority w:val="99"/>
    <w:semiHidden/>
    <w:unhideWhenUsed/>
    <w:rsid w:val="004762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deaconsultingllc.org/home/about-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natal5fiscal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35903-3DD4-4050-B039-9051968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Bornemeier</dc:creator>
  <cp:keywords/>
  <dc:description/>
  <cp:lastModifiedBy>Ivan Young</cp:lastModifiedBy>
  <cp:revision>2</cp:revision>
  <dcterms:created xsi:type="dcterms:W3CDTF">2022-12-07T21:16:00Z</dcterms:created>
  <dcterms:modified xsi:type="dcterms:W3CDTF">2022-12-07T21:16:00Z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93c6bc5ddc71cfd20d9deae000a6a82321a3653b7c31aa3fd6649eed4791d797</vt:lpwstr>
  </property>
</Properties>
</file>